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tbl>
      <w:tblPr>
        <w:tblW w:w="1054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98"/>
      </w:tblGrid>
      <w:tr w:rsidR="00CD667D" w:rsidRPr="00316717" w:rsidTr="00275DA9">
        <w:trPr>
          <w:trHeight w:val="51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6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</w:t>
            </w:r>
            <w:r w:rsidR="006A4730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i</w:t>
            </w:r>
            <w:r w:rsidR="006275B3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ón para el ejercicio fiscal 2019</w:t>
            </w:r>
            <w:bookmarkStart w:id="0" w:name="_GoBack"/>
            <w:bookmarkEnd w:id="0"/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para contratar servicios de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especializada en la realización del proyecto denominado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(“7")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CD667D" w:rsidRPr="00316717" w:rsidTr="00275DA9">
        <w:trPr>
          <w:trHeight w:val="779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CD667D" w:rsidRPr="00316717" w:rsidTr="00275DA9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FUNDAMENTO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JURÍDICO: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62 de la Ley Federal de Presupuesto y Responsabilidad Hacendaria; 19 de la Ley de Adquisiciones, Arrendamientos y Servicios del Sector Público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(9)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7, fracción XVI, 8, 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(10)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11, fracció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n XV; y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(11)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(12)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así como el 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Secretaría, expedido por el Secretario de Salud, publicado en el Diario Oficial de la Federación, el 16 de diciembre de 2011.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CD667D" w:rsidRPr="00316717" w:rsidTr="00275DA9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(13)</w:t>
            </w: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CD667D" w:rsidRPr="00316717" w:rsidTr="00275DA9">
        <w:trPr>
          <w:trHeight w:val="122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para contratar el servicio especializado que se requiere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asciende a la cantidad de hasta 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$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18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pesos 00/100 M.N.)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CD667D" w:rsidRPr="00316717" w:rsidRDefault="00CD667D" w:rsidP="00275DA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D667D" w:rsidRPr="00316717" w:rsidRDefault="00CD667D" w:rsidP="00275DA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Dirección Genera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CD667D" w:rsidRPr="00316717" w:rsidTr="00275DA9">
        <w:trPr>
          <w:trHeight w:val="7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CD667D" w:rsidRPr="00316717" w:rsidTr="00275DA9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BENEFICIO: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</w:p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CD667D" w:rsidRPr="00316717" w:rsidTr="00275DA9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67D" w:rsidRPr="00316717" w:rsidRDefault="00CD667D" w:rsidP="00275DA9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ACUERDO: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CD667D" w:rsidRPr="00316717" w:rsidRDefault="00CD667D" w:rsidP="00275DA9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Con fundamento en los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62 de la Ley Federal de Presupuesto y Responsabilidad Hacendaria; 19 de la Ley de Adquisiciones, Arrendamientos y Servicios del Sector Público;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7, fracción XVI,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8, fracci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 11, fracción X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V; y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así como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en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“Acuerdo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Secretaría”,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emitido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por el Secretario de Salud, publicado en el Diario Oficial de la Federación el 16 de diciembre de 2011,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951739">
              <w:rPr>
                <w:rFonts w:ascii="Montserrat SemiBold" w:hAnsi="Montserrat SemiBold" w:cs="Arial"/>
                <w:sz w:val="20"/>
                <w:szCs w:val="20"/>
                <w:lang w:val="es-ES" w:eastAsia="es-ES"/>
              </w:rPr>
              <w:t>se autoriza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 la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erogar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recursos presupuestarios previstos en el Decreto de Presupuesto de Egresos de la Federación para el ejercicio fiscal 201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con cargo a la partida específica de gasto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(</w:t>
            </w:r>
            <w:r>
              <w:rPr>
                <w:rFonts w:ascii="Montserrat" w:hAnsi="Montserrat"/>
                <w:b/>
                <w:sz w:val="20"/>
                <w:szCs w:val="20"/>
              </w:rPr>
              <w:t>28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("</w:t>
            </w:r>
            <w:r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29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”)</w:t>
            </w:r>
            <w:r w:rsidRP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del Clasificador por Objeto del Gasto para la Administración Pública Federal, hasta por un monto de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$(3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0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((3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1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00/100 M.N.)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, 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incluido el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Impuesto al Valor Agregado,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para la contratación de los servicios de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especializada que se requieren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en el entendido de que la citada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34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de este tipo de servicios, en específico los previstos en los artículos 62 de la Ley Federal de Presupuesto y Responsabilidad Hacendaria y 19 de la Ley de Adquisiciones, Arrendamientos y Servicios del Sector Público; así como respecto de la pertinencia del servicio, alcances, términos, cost</w:t>
            </w:r>
            <w:r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os, tipo y modo de contratación;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seguimiento, validación y pago del servicio referido; y sin menoscabo de que la misma deberá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CD667D" w:rsidRPr="00316717" w:rsidTr="00275DA9">
        <w:trPr>
          <w:trHeight w:val="3832"/>
        </w:trPr>
        <w:tc>
          <w:tcPr>
            <w:tcW w:w="1054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CD667D" w:rsidRPr="002F039F" w:rsidRDefault="00CD667D" w:rsidP="00275DA9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CD667D" w:rsidTr="00275DA9">
              <w:tc>
                <w:tcPr>
                  <w:tcW w:w="10315" w:type="dxa"/>
                  <w:gridSpan w:val="2"/>
                  <w:vAlign w:val="center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CD667D" w:rsidTr="00275DA9">
              <w:tc>
                <w:tcPr>
                  <w:tcW w:w="10315" w:type="dxa"/>
                  <w:gridSpan w:val="2"/>
                  <w:vAlign w:val="center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14444A8" wp14:editId="530A978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1" name="Conector rec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19DA83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CD667D" w:rsidTr="00275DA9">
              <w:tc>
                <w:tcPr>
                  <w:tcW w:w="10315" w:type="dxa"/>
                  <w:gridSpan w:val="2"/>
                </w:tcPr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CD667D" w:rsidTr="00275DA9">
              <w:trPr>
                <w:trHeight w:val="1715"/>
              </w:trPr>
              <w:tc>
                <w:tcPr>
                  <w:tcW w:w="5157" w:type="dxa"/>
                </w:tcPr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CD667D" w:rsidRPr="002F039F" w:rsidRDefault="00CD667D" w:rsidP="00275DA9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val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8630BB9" wp14:editId="6AC5AC92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56FF60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Ddpao94AAAAIAQAADwAAAAAAAAAAAAAAAAAOBAAAZHJzL2Rv&#10;d25yZXYueG1sUEsFBgAAAAAEAAQA8wAAABkFAAAAAA==&#10;" strokecolor="black [3040]"/>
                        </w:pict>
                      </mc:Fallback>
                    </mc:AlternateConten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  <w:p w:rsidR="00CD667D" w:rsidRPr="002F039F" w:rsidRDefault="00CD667D" w:rsidP="00275DA9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(</w:t>
                  </w:r>
                  <w:r>
                    <w:rPr>
                      <w:rFonts w:ascii="Montserrat" w:hAnsi="Montserrat"/>
                      <w:b/>
                    </w:rPr>
                    <w:t>38</w:t>
                  </w:r>
                  <w:r w:rsidRPr="002F039F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C7A3A40" wp14:editId="38198197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497FE2D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" strokecolor="black [3040]"/>
                        </w:pict>
                      </mc:Fallback>
                    </mc:AlternateContent>
                  </w:r>
                </w:p>
                <w:p w:rsidR="00CD667D" w:rsidRDefault="00CD667D" w:rsidP="00275DA9">
                  <w:pPr>
                    <w:pStyle w:val="Textoindependiente21"/>
                    <w:snapToGrid w:val="0"/>
                    <w:ind w:right="250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 xml:space="preserve">   MTRO. MARCO VINICIO GALLARDO ENRÍQUEZ</w:t>
                  </w:r>
                </w:p>
                <w:p w:rsidR="00CD667D" w:rsidRPr="002F039F" w:rsidRDefault="00CD667D" w:rsidP="00275DA9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  TITULAR DE LA UNIDAD DE ADMINISTRACIÓN Y FINANZAS</w:t>
                  </w:r>
                </w:p>
              </w:tc>
            </w:tr>
          </w:tbl>
          <w:p w:rsidR="00CD667D" w:rsidRPr="00316717" w:rsidRDefault="00CD667D" w:rsidP="00275DA9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BC13BA" w:rsidRPr="000D1254" w:rsidRDefault="00BC13BA" w:rsidP="000D1254">
      <w:pPr>
        <w:pStyle w:val="Encabezado"/>
        <w:tabs>
          <w:tab w:val="right" w:pos="9356"/>
        </w:tabs>
        <w:jc w:val="both"/>
        <w:rPr>
          <w:rFonts w:ascii="Montserrat" w:hAnsi="Montserrat"/>
          <w:sz w:val="12"/>
          <w:szCs w:val="21"/>
        </w:rPr>
      </w:pPr>
    </w:p>
    <w:sectPr w:rsidR="00BC13BA" w:rsidRPr="000D1254" w:rsidSect="001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63" w:rsidRDefault="00F13763">
      <w:r>
        <w:separator/>
      </w:r>
    </w:p>
  </w:endnote>
  <w:endnote w:type="continuationSeparator" w:id="0">
    <w:p w:rsidR="00F13763" w:rsidRDefault="00F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6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63" w:rsidRDefault="00F13763">
      <w:r>
        <w:separator/>
      </w:r>
    </w:p>
  </w:footnote>
  <w:footnote w:type="continuationSeparator" w:id="0">
    <w:p w:rsidR="00F13763" w:rsidRDefault="00F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 xml:space="preserve">ACUERDO DE </w:t>
    </w:r>
    <w:r w:rsidRPr="00316717">
      <w:rPr>
        <w:rFonts w:ascii="Montserrat Medium" w:hAnsi="Montserrat Medium"/>
        <w:b/>
        <w:sz w:val="20"/>
      </w:rPr>
      <w:t>AUTORIZACIÓN</w:t>
    </w: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 w:rsidRPr="00316717">
      <w:rPr>
        <w:rFonts w:ascii="Montserrat Medium" w:hAnsi="Montserrat Medium"/>
        <w:b/>
        <w:sz w:val="20"/>
      </w:rPr>
      <w:t>(1)</w:t>
    </w:r>
  </w:p>
  <w:p w:rsidR="00CD667D" w:rsidRPr="00316717" w:rsidRDefault="00CD667D" w:rsidP="00CD667D">
    <w:pPr>
      <w:jc w:val="center"/>
      <w:rPr>
        <w:rFonts w:ascii="Montserrat Medium" w:hAnsi="Montserrat Medium"/>
        <w:b/>
        <w:sz w:val="20"/>
      </w:rPr>
    </w:pPr>
    <w:r w:rsidRPr="00316717">
      <w:rPr>
        <w:rFonts w:ascii="Montserrat Medium" w:hAnsi="Montserrat Medium"/>
        <w:b/>
        <w:sz w:val="20"/>
      </w:rPr>
      <w:t>(2)</w:t>
    </w:r>
  </w:p>
  <w:p w:rsidR="00CD667D" w:rsidRDefault="004730EA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>(3), 2024</w:t>
    </w:r>
  </w:p>
  <w:p w:rsidR="00DF3C8F" w:rsidRPr="00CD667D" w:rsidRDefault="00CD667D" w:rsidP="00CD667D">
    <w:pPr>
      <w:jc w:val="center"/>
      <w:rPr>
        <w:rFonts w:ascii="Montserrat Medium" w:hAnsi="Montserrat Medium"/>
        <w:b/>
        <w:sz w:val="20"/>
      </w:rPr>
    </w:pPr>
    <w:r>
      <w:rPr>
        <w:rFonts w:ascii="Montserrat Medium" w:hAnsi="Montserrat Medium"/>
        <w:b/>
        <w:sz w:val="20"/>
      </w:rPr>
      <w:t>ANEXO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D6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730EA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275B3"/>
    <w:rsid w:val="00635597"/>
    <w:rsid w:val="00654649"/>
    <w:rsid w:val="00664CA0"/>
    <w:rsid w:val="0068403B"/>
    <w:rsid w:val="006A4730"/>
    <w:rsid w:val="006D1928"/>
    <w:rsid w:val="006F7A9F"/>
    <w:rsid w:val="00723A7A"/>
    <w:rsid w:val="00725245"/>
    <w:rsid w:val="007871FD"/>
    <w:rsid w:val="007A677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9615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A5DF1"/>
    <w:rsid w:val="00BC13BA"/>
    <w:rsid w:val="00BC4E7A"/>
    <w:rsid w:val="00BD75E6"/>
    <w:rsid w:val="00C03F0B"/>
    <w:rsid w:val="00C24D69"/>
    <w:rsid w:val="00C81340"/>
    <w:rsid w:val="00CC1150"/>
    <w:rsid w:val="00CC75B3"/>
    <w:rsid w:val="00CD59AA"/>
    <w:rsid w:val="00CD667D"/>
    <w:rsid w:val="00D14075"/>
    <w:rsid w:val="00D16534"/>
    <w:rsid w:val="00D936E6"/>
    <w:rsid w:val="00DB3E28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13763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576F9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53AD8B-1C89-469F-A49B-693AB1DA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5</cp:revision>
  <cp:lastPrinted>2024-01-30T17:44:00Z</cp:lastPrinted>
  <dcterms:created xsi:type="dcterms:W3CDTF">2024-01-09T17:21:00Z</dcterms:created>
  <dcterms:modified xsi:type="dcterms:W3CDTF">2024-01-30T17:46:00Z</dcterms:modified>
</cp:coreProperties>
</file>